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Title"/>
        <w:rPr/>
      </w:pPr>
      <w:bookmarkStart w:colFirst="0" w:colLast="0" w:name="_ljhlwslxr0z1" w:id="0"/>
      <w:bookmarkEnd w:id="0"/>
      <w:r w:rsidDel="00000000" w:rsidR="00000000" w:rsidRPr="00000000">
        <w:rPr>
          <w:rtl w:val="0"/>
        </w:rPr>
        <w:t xml:space="preserve">117/121lab Au25 Lab 6: </w:t>
        <w:br w:type="textWrapping"/>
        <w:t xml:space="preserve">Stretchy objects - Research questions</w:t>
      </w:r>
    </w:p>
    <w:p w:rsidR="00000000" w:rsidDel="00000000" w:rsidP="00000000" w:rsidRDefault="00000000" w:rsidRPr="00000000" w14:paraId="00000002">
      <w:pPr>
        <w:pStyle w:val="Heading1"/>
        <w:rPr/>
      </w:pPr>
      <w:bookmarkStart w:colFirst="0" w:colLast="0" w:name="_ype92032vmhg" w:id="1"/>
      <w:bookmarkEnd w:id="1"/>
      <w:r w:rsidDel="00000000" w:rsidR="00000000" w:rsidRPr="00000000">
        <w:rPr>
          <w:rtl w:val="0"/>
        </w:rPr>
        <w:t xml:space="preserve">Learning goals</w:t>
      </w:r>
    </w:p>
    <w:p w:rsidR="00000000" w:rsidDel="00000000" w:rsidP="00000000" w:rsidRDefault="00000000" w:rsidRPr="00000000" w14:paraId="00000003">
      <w:pPr>
        <w:rPr/>
      </w:pPr>
      <w:r w:rsidDel="00000000" w:rsidR="00000000" w:rsidRPr="00000000">
        <w:rPr>
          <w:rtl w:val="0"/>
        </w:rPr>
        <w:t xml:space="preserve">By the end of this unit, students should be able to:</w:t>
      </w:r>
    </w:p>
    <w:p w:rsidR="00000000" w:rsidDel="00000000" w:rsidP="00000000" w:rsidRDefault="00000000" w:rsidRPr="00000000" w14:paraId="00000004">
      <w:pPr>
        <w:numPr>
          <w:ilvl w:val="0"/>
          <w:numId w:val="3"/>
        </w:numPr>
        <w:ind w:left="360"/>
      </w:pPr>
      <w:r w:rsidDel="00000000" w:rsidR="00000000" w:rsidRPr="00000000">
        <w:rPr>
          <w:rtl w:val="0"/>
        </w:rPr>
        <w:t xml:space="preserve">Decide which data to collect, including which variables to vary, which variables to control, and which variables to measure</w:t>
      </w:r>
    </w:p>
    <w:p w:rsidR="00000000" w:rsidDel="00000000" w:rsidP="00000000" w:rsidRDefault="00000000" w:rsidRPr="00000000" w14:paraId="00000005">
      <w:pPr>
        <w:numPr>
          <w:ilvl w:val="0"/>
          <w:numId w:val="3"/>
        </w:numPr>
        <w:ind w:left="360"/>
      </w:pPr>
      <w:r w:rsidDel="00000000" w:rsidR="00000000" w:rsidRPr="00000000">
        <w:rPr>
          <w:rtl w:val="0"/>
        </w:rPr>
        <w:t xml:space="preserve">Decide how to use equipment to make measurements including the amount data to collect to obtain desirable uncertainty in measured values</w:t>
      </w:r>
    </w:p>
    <w:p w:rsidR="00000000" w:rsidDel="00000000" w:rsidP="00000000" w:rsidRDefault="00000000" w:rsidRPr="00000000" w14:paraId="00000006">
      <w:pPr>
        <w:numPr>
          <w:ilvl w:val="0"/>
          <w:numId w:val="3"/>
        </w:numPr>
        <w:ind w:left="360"/>
      </w:pPr>
      <w:r w:rsidDel="00000000" w:rsidR="00000000" w:rsidRPr="00000000">
        <w:rPr>
          <w:rtl w:val="0"/>
        </w:rPr>
        <w:t xml:space="preserve">Reflect throughout the process by plotting as data are collected and evaluating the methods and data </w:t>
      </w:r>
    </w:p>
    <w:p w:rsidR="00000000" w:rsidDel="00000000" w:rsidP="00000000" w:rsidRDefault="00000000" w:rsidRPr="00000000" w14:paraId="00000007">
      <w:pPr>
        <w:numPr>
          <w:ilvl w:val="0"/>
          <w:numId w:val="3"/>
        </w:numPr>
        <w:ind w:left="360"/>
      </w:pPr>
      <w:r w:rsidDel="00000000" w:rsidR="00000000" w:rsidRPr="00000000">
        <w:rPr>
          <w:rtl w:val="0"/>
        </w:rPr>
        <w:t xml:space="preserve">Draw inferences from analyses conducted</w:t>
      </w:r>
    </w:p>
    <w:p w:rsidR="00000000" w:rsidDel="00000000" w:rsidP="00000000" w:rsidRDefault="00000000" w:rsidRPr="00000000" w14:paraId="00000008">
      <w:pPr>
        <w:numPr>
          <w:ilvl w:val="0"/>
          <w:numId w:val="3"/>
        </w:numPr>
        <w:ind w:left="360"/>
      </w:pPr>
      <w:r w:rsidDel="00000000" w:rsidR="00000000" w:rsidRPr="00000000">
        <w:rPr>
          <w:rtl w:val="0"/>
        </w:rPr>
        <w:t xml:space="preserve">Present conclusions, claims, and outcomes as arguments that are supported by and follow coherently from experimental data</w:t>
      </w:r>
    </w:p>
    <w:p w:rsidR="00000000" w:rsidDel="00000000" w:rsidP="00000000" w:rsidRDefault="00000000" w:rsidRPr="00000000" w14:paraId="00000009">
      <w:pPr>
        <w:pStyle w:val="Heading1"/>
        <w:rPr/>
      </w:pPr>
      <w:bookmarkStart w:colFirst="0" w:colLast="0" w:name="_o25ojgd7lx9i" w:id="2"/>
      <w:bookmarkEnd w:id="2"/>
      <w:r w:rsidDel="00000000" w:rsidR="00000000" w:rsidRPr="00000000">
        <w:rPr>
          <w:rtl w:val="0"/>
        </w:rPr>
        <w:t xml:space="preserve">Lab Class Slides</w:t>
      </w:r>
    </w:p>
    <w:p w:rsidR="00000000" w:rsidDel="00000000" w:rsidP="00000000" w:rsidRDefault="00000000" w:rsidRPr="00000000" w14:paraId="0000000A">
      <w:pPr>
        <w:rPr/>
      </w:pPr>
      <w:hyperlink r:id="rId6">
        <w:r w:rsidDel="00000000" w:rsidR="00000000" w:rsidRPr="00000000">
          <w:rPr>
            <w:color w:val="0000ee"/>
            <w:u w:val="single"/>
            <w:rtl w:val="0"/>
          </w:rPr>
          <w:t xml:space="preserve">BPHYS 117-121 Au25 Lab 6 Sample</w:t>
        </w:r>
      </w:hyperlink>
      <w:r w:rsidDel="00000000" w:rsidR="00000000" w:rsidRPr="00000000">
        <w:rPr>
          <w:rtl w:val="0"/>
        </w:rPr>
      </w:r>
    </w:p>
    <w:p w:rsidR="00000000" w:rsidDel="00000000" w:rsidP="00000000" w:rsidRDefault="00000000" w:rsidRPr="00000000" w14:paraId="0000000B">
      <w:pPr>
        <w:pStyle w:val="Heading1"/>
        <w:rPr/>
      </w:pPr>
      <w:bookmarkStart w:colFirst="0" w:colLast="0" w:name="_y8mzqksfewlo" w:id="3"/>
      <w:bookmarkEnd w:id="3"/>
      <w:r w:rsidDel="00000000" w:rsidR="00000000" w:rsidRPr="00000000">
        <w:rPr>
          <w:rtl w:val="0"/>
        </w:rPr>
        <w:t xml:space="preserve">In-Lab Questions</w:t>
      </w:r>
    </w:p>
    <w:p w:rsidR="00000000" w:rsidDel="00000000" w:rsidP="00000000" w:rsidRDefault="00000000" w:rsidRPr="00000000" w14:paraId="0000000C">
      <w:pPr>
        <w:ind w:left="0" w:firstLine="0"/>
        <w:rPr/>
      </w:pPr>
      <w:hyperlink r:id="rId7">
        <w:r w:rsidDel="00000000" w:rsidR="00000000" w:rsidRPr="00000000">
          <w:rPr>
            <w:color w:val="0000ee"/>
            <w:u w:val="single"/>
            <w:rtl w:val="0"/>
          </w:rPr>
          <w:t xml:space="preserve">Lab 6 In-Lab Questions:  Stretchy objects - Research questions</w:t>
        </w:r>
      </w:hyperlink>
      <w:r w:rsidDel="00000000" w:rsidR="00000000" w:rsidRPr="00000000">
        <w:rPr>
          <w:rtl w:val="0"/>
        </w:rPr>
      </w:r>
    </w:p>
    <w:p w:rsidR="00000000" w:rsidDel="00000000" w:rsidP="00000000" w:rsidRDefault="00000000" w:rsidRPr="00000000" w14:paraId="0000000D">
      <w:pPr>
        <w:pStyle w:val="Heading1"/>
        <w:spacing w:after="240" w:before="240" w:lineRule="auto"/>
        <w:rPr>
          <w:i w:val="1"/>
          <w:iCs w:val="1"/>
        </w:rPr>
      </w:pPr>
      <w:bookmarkStart w:colFirst="0" w:colLast="0" w:name="_y37b0rpo2qzt" w:id="4"/>
      <w:bookmarkEnd w:id="4"/>
      <w:r w:rsidDel="00000000" w:rsidR="00000000" w:rsidRPr="00000000">
        <w:rPr>
          <w:rtl w:val="0"/>
        </w:rPr>
        <w:t xml:space="preserve">Lab notes - Scoring rubric</w:t>
      </w:r>
      <w:r w:rsidDel="00000000" w:rsidR="00000000" w:rsidRPr="00000000">
        <w:rPr>
          <w:rtl w:val="0"/>
        </w:rPr>
      </w:r>
    </w:p>
    <w:tbl>
      <w:tblPr>
        <w:tblStyle w:val="Table1"/>
        <w:tblW w:w="11070.0" w:type="dxa"/>
        <w:jc w:val="left"/>
        <w:tblInd w:w="1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40"/>
        <w:gridCol w:w="855"/>
        <w:gridCol w:w="5040"/>
        <w:gridCol w:w="3435"/>
        <w:tblGridChange w:id="0">
          <w:tblGrid>
            <w:gridCol w:w="1740"/>
            <w:gridCol w:w="855"/>
            <w:gridCol w:w="5040"/>
            <w:gridCol w:w="3435"/>
          </w:tblGrid>
        </w:tblGridChange>
      </w:tblGrid>
      <w:tr>
        <w:trPr>
          <w:cantSplit w:val="0"/>
          <w:trHeight w:val="680" w:hRule="atLeast"/>
          <w:tblHeader w:val="0"/>
        </w:trPr>
        <w:tc>
          <w:tcPr>
            <w:tcBorders>
              <w:top w:color="bfbfbf" w:space="0" w:sz="6" w:val="single"/>
              <w:left w:color="bfbfbf" w:space="0" w:sz="6" w:val="single"/>
              <w:bottom w:color="bfbfbf" w:space="0" w:sz="6" w:val="single"/>
              <w:right w:color="bfbfbf" w:space="0" w:sz="6" w:val="single"/>
            </w:tcBorders>
            <w:tcMar>
              <w:top w:w="100.0" w:type="dxa"/>
              <w:left w:w="100.0" w:type="dxa"/>
              <w:bottom w:w="100.0" w:type="dxa"/>
              <w:right w:w="100.0" w:type="dxa"/>
            </w:tcMar>
            <w:vAlign w:val="top"/>
          </w:tcPr>
          <w:p w:rsidR="00000000" w:rsidDel="00000000" w:rsidP="00000000" w:rsidRDefault="00000000" w:rsidRPr="00000000" w14:paraId="0000000E">
            <w:pPr>
              <w:spacing w:line="240" w:lineRule="auto"/>
              <w:rPr>
                <w:b w:val="1"/>
                <w:bCs w:val="1"/>
              </w:rPr>
            </w:pPr>
            <w:r w:rsidDel="00000000" w:rsidR="00000000" w:rsidRPr="00000000">
              <w:rPr>
                <w:b w:val="1"/>
                <w:bCs w:val="1"/>
                <w:rtl w:val="0"/>
              </w:rPr>
              <w:t xml:space="preserve">Criterion</w:t>
            </w:r>
          </w:p>
        </w:tc>
        <w:tc>
          <w:tcPr>
            <w:tcBorders>
              <w:top w:color="bfbfbf" w:space="0" w:sz="6" w:val="single"/>
              <w:left w:color="bfbfbf" w:space="0" w:sz="6" w:val="single"/>
              <w:bottom w:color="bfbfbf" w:space="0" w:sz="6" w:val="single"/>
              <w:right w:color="bfbfbf" w:space="0" w:sz="6" w:val="single"/>
            </w:tcBorders>
            <w:tcMar>
              <w:top w:w="100.0" w:type="dxa"/>
              <w:left w:w="100.0" w:type="dxa"/>
              <w:bottom w:w="100.0" w:type="dxa"/>
              <w:right w:w="100.0" w:type="dxa"/>
            </w:tcMar>
            <w:vAlign w:val="top"/>
          </w:tcPr>
          <w:p w:rsidR="00000000" w:rsidDel="00000000" w:rsidP="00000000" w:rsidRDefault="00000000" w:rsidRPr="00000000" w14:paraId="0000000F">
            <w:pPr>
              <w:spacing w:line="240" w:lineRule="auto"/>
              <w:rPr>
                <w:b w:val="1"/>
                <w:bCs w:val="1"/>
              </w:rPr>
            </w:pPr>
            <w:r w:rsidDel="00000000" w:rsidR="00000000" w:rsidRPr="00000000">
              <w:rPr>
                <w:b w:val="1"/>
                <w:bCs w:val="1"/>
                <w:rtl w:val="0"/>
              </w:rPr>
              <w:t xml:space="preserve">Pts</w:t>
            </w:r>
          </w:p>
        </w:tc>
        <w:tc>
          <w:tcPr>
            <w:tcBorders>
              <w:top w:color="bfbfbf" w:space="0" w:sz="6" w:val="single"/>
              <w:left w:color="000000" w:space="0" w:sz="0" w:val="nil"/>
              <w:bottom w:color="bfbfbf" w:space="0" w:sz="6" w:val="single"/>
              <w:right w:color="bfbfbf" w:space="0" w:sz="6" w:val="single"/>
            </w:tcBorders>
            <w:tcMar>
              <w:top w:w="100.0" w:type="dxa"/>
              <w:left w:w="100.0" w:type="dxa"/>
              <w:bottom w:w="100.0" w:type="dxa"/>
              <w:right w:w="100.0" w:type="dxa"/>
            </w:tcMar>
            <w:vAlign w:val="top"/>
          </w:tcPr>
          <w:p w:rsidR="00000000" w:rsidDel="00000000" w:rsidP="00000000" w:rsidRDefault="00000000" w:rsidRPr="00000000" w14:paraId="00000010">
            <w:pPr>
              <w:spacing w:line="240" w:lineRule="auto"/>
              <w:rPr>
                <w:b w:val="1"/>
                <w:bCs w:val="1"/>
              </w:rPr>
            </w:pPr>
            <w:r w:rsidDel="00000000" w:rsidR="00000000" w:rsidRPr="00000000">
              <w:rPr>
                <w:b w:val="1"/>
                <w:bCs w:val="1"/>
                <w:rtl w:val="0"/>
              </w:rPr>
              <w:t xml:space="preserve">High</w:t>
            </w:r>
          </w:p>
        </w:tc>
        <w:tc>
          <w:tcPr>
            <w:tcBorders>
              <w:top w:color="bfbfbf" w:space="0" w:sz="6" w:val="single"/>
              <w:left w:color="000000" w:space="0" w:sz="0" w:val="nil"/>
              <w:bottom w:color="bfbfbf" w:space="0" w:sz="6" w:val="single"/>
              <w:right w:color="bfbfbf" w:space="0" w:sz="6" w:val="single"/>
            </w:tcBorders>
            <w:tcMar>
              <w:top w:w="100.0" w:type="dxa"/>
              <w:left w:w="100.0" w:type="dxa"/>
              <w:bottom w:w="100.0" w:type="dxa"/>
              <w:right w:w="100.0" w:type="dxa"/>
            </w:tcMar>
            <w:vAlign w:val="top"/>
          </w:tcPr>
          <w:p w:rsidR="00000000" w:rsidDel="00000000" w:rsidP="00000000" w:rsidRDefault="00000000" w:rsidRPr="00000000" w14:paraId="00000011">
            <w:pPr>
              <w:spacing w:line="240" w:lineRule="auto"/>
              <w:rPr>
                <w:b w:val="1"/>
                <w:bCs w:val="1"/>
              </w:rPr>
            </w:pPr>
            <w:r w:rsidDel="00000000" w:rsidR="00000000" w:rsidRPr="00000000">
              <w:rPr>
                <w:b w:val="1"/>
                <w:bCs w:val="1"/>
                <w:rtl w:val="0"/>
              </w:rPr>
              <w:t xml:space="preserve">Low</w:t>
            </w:r>
          </w:p>
        </w:tc>
      </w:tr>
      <w:tr>
        <w:trPr>
          <w:cantSplit w:val="0"/>
          <w:trHeight w:val="680" w:hRule="atLeast"/>
          <w:tblHeader w:val="0"/>
        </w:trPr>
        <w:tc>
          <w:tcPr>
            <w:tcBorders>
              <w:top w:color="bfbfbf" w:space="0" w:sz="6" w:val="single"/>
              <w:left w:color="bfbfbf" w:space="0" w:sz="6" w:val="single"/>
              <w:bottom w:color="bfbfbf" w:space="0" w:sz="6" w:val="single"/>
              <w:right w:color="bfbfbf" w:space="0" w:sz="6" w:val="single"/>
            </w:tcBorders>
            <w:tcMar>
              <w:top w:w="100.0" w:type="dxa"/>
              <w:left w:w="100.0" w:type="dxa"/>
              <w:bottom w:w="100.0" w:type="dxa"/>
              <w:right w:w="100.0" w:type="dxa"/>
            </w:tcMar>
            <w:vAlign w:val="top"/>
          </w:tcPr>
          <w:p w:rsidR="00000000" w:rsidDel="00000000" w:rsidP="00000000" w:rsidRDefault="00000000" w:rsidRPr="00000000" w14:paraId="00000012">
            <w:pPr>
              <w:spacing w:line="240" w:lineRule="auto"/>
              <w:rPr/>
            </w:pPr>
            <w:r w:rsidDel="00000000" w:rsidR="00000000" w:rsidRPr="00000000">
              <w:rPr>
                <w:rtl w:val="0"/>
              </w:rPr>
              <w:t xml:space="preserve">Methods</w:t>
            </w:r>
          </w:p>
        </w:tc>
        <w:tc>
          <w:tcPr>
            <w:tcBorders>
              <w:top w:color="bfbfbf" w:space="0" w:sz="6" w:val="single"/>
              <w:left w:color="bfbfbf" w:space="0" w:sz="6" w:val="single"/>
              <w:bottom w:color="bfbfbf" w:space="0" w:sz="6" w:val="single"/>
              <w:right w:color="bfbfbf" w:space="0" w:sz="6" w:val="single"/>
            </w:tcBorders>
            <w:tcMar>
              <w:top w:w="100.0" w:type="dxa"/>
              <w:left w:w="100.0" w:type="dxa"/>
              <w:bottom w:w="100.0" w:type="dxa"/>
              <w:right w:w="100.0" w:type="dxa"/>
            </w:tcMar>
            <w:vAlign w:val="top"/>
          </w:tcPr>
          <w:p w:rsidR="00000000" w:rsidDel="00000000" w:rsidP="00000000" w:rsidRDefault="00000000" w:rsidRPr="00000000" w14:paraId="00000013">
            <w:pPr>
              <w:spacing w:line="240" w:lineRule="auto"/>
              <w:rPr/>
            </w:pPr>
            <w:r w:rsidDel="00000000" w:rsidR="00000000" w:rsidRPr="00000000">
              <w:rPr>
                <w:rtl w:val="0"/>
              </w:rPr>
              <w:t xml:space="preserve">2</w:t>
            </w:r>
          </w:p>
        </w:tc>
        <w:tc>
          <w:tcPr>
            <w:tcBorders>
              <w:top w:color="bfbfbf" w:space="0" w:sz="6" w:val="single"/>
              <w:left w:color="000000" w:space="0" w:sz="0" w:val="nil"/>
              <w:bottom w:color="bfbfbf" w:space="0" w:sz="6" w:val="single"/>
              <w:right w:color="bfbfbf" w:space="0" w:sz="6" w:val="single"/>
            </w:tcBorders>
            <w:tcMar>
              <w:top w:w="100.0" w:type="dxa"/>
              <w:left w:w="100.0" w:type="dxa"/>
              <w:bottom w:w="100.0" w:type="dxa"/>
              <w:right w:w="100.0" w:type="dxa"/>
            </w:tcMar>
            <w:vAlign w:val="top"/>
          </w:tcPr>
          <w:p w:rsidR="00000000" w:rsidDel="00000000" w:rsidP="00000000" w:rsidRDefault="00000000" w:rsidRPr="00000000" w14:paraId="00000014">
            <w:pPr>
              <w:spacing w:line="240" w:lineRule="auto"/>
              <w:rPr/>
            </w:pPr>
            <w:r w:rsidDel="00000000" w:rsidR="00000000" w:rsidRPr="00000000">
              <w:rPr>
                <w:rtl w:val="0"/>
              </w:rPr>
              <w:t xml:space="preserve">Well described - Data collection is described clearly and completely, including which objects are tested, how forces are measured, how uncertainties are measured and minimized, and how each group member contributes.</w:t>
            </w:r>
          </w:p>
        </w:tc>
        <w:tc>
          <w:tcPr>
            <w:tcBorders>
              <w:top w:color="bfbfbf" w:space="0" w:sz="6" w:val="single"/>
              <w:left w:color="000000" w:space="0" w:sz="0" w:val="nil"/>
              <w:bottom w:color="bfbfbf" w:space="0" w:sz="6" w:val="single"/>
              <w:right w:color="bfbfbf" w:space="0" w:sz="6" w:val="single"/>
            </w:tcBorders>
            <w:tcMar>
              <w:top w:w="100.0" w:type="dxa"/>
              <w:left w:w="100.0" w:type="dxa"/>
              <w:bottom w:w="100.0" w:type="dxa"/>
              <w:right w:w="100.0" w:type="dxa"/>
            </w:tcMar>
            <w:vAlign w:val="top"/>
          </w:tcPr>
          <w:p w:rsidR="00000000" w:rsidDel="00000000" w:rsidP="00000000" w:rsidRDefault="00000000" w:rsidRPr="00000000" w14:paraId="00000015">
            <w:pPr>
              <w:spacing w:line="240" w:lineRule="auto"/>
              <w:rPr/>
            </w:pPr>
            <w:r w:rsidDel="00000000" w:rsidR="00000000" w:rsidRPr="00000000">
              <w:rPr>
                <w:rtl w:val="0"/>
              </w:rPr>
              <w:t xml:space="preserve">Needs improvement - </w:t>
            </w:r>
            <w:r w:rsidDel="00000000" w:rsidR="00000000" w:rsidRPr="00000000">
              <w:rPr>
                <w:rFonts w:ascii="Lato" w:cs="Lato" w:eastAsia="Lato" w:hAnsi="Lato"/>
                <w:color w:val="2d3b45"/>
                <w:sz w:val="20"/>
                <w:szCs w:val="20"/>
                <w:highlight w:val="white"/>
                <w:rtl w:val="0"/>
              </w:rPr>
              <w:t xml:space="preserve">Data collection is described minimally or incompletely</w:t>
            </w:r>
            <w:r w:rsidDel="00000000" w:rsidR="00000000" w:rsidRPr="00000000">
              <w:rPr>
                <w:rtl w:val="0"/>
              </w:rPr>
            </w:r>
          </w:p>
        </w:tc>
      </w:tr>
      <w:tr>
        <w:trPr>
          <w:cantSplit w:val="0"/>
          <w:trHeight w:val="920" w:hRule="atLeast"/>
          <w:tblHeader w:val="0"/>
        </w:trPr>
        <w:tc>
          <w:tcPr>
            <w:tcBorders>
              <w:top w:color="000000" w:space="0" w:sz="0" w:val="nil"/>
              <w:left w:color="bfbfbf" w:space="0" w:sz="6" w:val="single"/>
              <w:bottom w:color="bfbfbf" w:space="0" w:sz="6" w:val="single"/>
              <w:right w:color="bfbfbf" w:space="0" w:sz="6" w:val="single"/>
            </w:tcBorders>
            <w:tcMar>
              <w:top w:w="100.0" w:type="dxa"/>
              <w:left w:w="100.0" w:type="dxa"/>
              <w:bottom w:w="100.0" w:type="dxa"/>
              <w:right w:w="100.0" w:type="dxa"/>
            </w:tcMar>
            <w:vAlign w:val="top"/>
          </w:tcPr>
          <w:p w:rsidR="00000000" w:rsidDel="00000000" w:rsidP="00000000" w:rsidRDefault="00000000" w:rsidRPr="00000000" w14:paraId="00000016">
            <w:pPr>
              <w:spacing w:line="240" w:lineRule="auto"/>
              <w:rPr/>
            </w:pPr>
            <w:r w:rsidDel="00000000" w:rsidR="00000000" w:rsidRPr="00000000">
              <w:rPr>
                <w:rtl w:val="0"/>
              </w:rPr>
              <w:t xml:space="preserve">Analysis</w:t>
            </w:r>
          </w:p>
        </w:tc>
        <w:tc>
          <w:tcPr>
            <w:tcBorders>
              <w:top w:color="000000" w:space="0" w:sz="0" w:val="nil"/>
              <w:left w:color="bfbfbf" w:space="0" w:sz="6" w:val="single"/>
              <w:bottom w:color="bfbfbf" w:space="0" w:sz="6" w:val="single"/>
              <w:right w:color="bfbfbf" w:space="0" w:sz="6" w:val="single"/>
            </w:tcBorders>
            <w:tcMar>
              <w:top w:w="100.0" w:type="dxa"/>
              <w:left w:w="100.0" w:type="dxa"/>
              <w:bottom w:w="100.0" w:type="dxa"/>
              <w:right w:w="100.0" w:type="dxa"/>
            </w:tcMar>
            <w:vAlign w:val="top"/>
          </w:tcPr>
          <w:p w:rsidR="00000000" w:rsidDel="00000000" w:rsidP="00000000" w:rsidRDefault="00000000" w:rsidRPr="00000000" w14:paraId="00000017">
            <w:pPr>
              <w:spacing w:line="240" w:lineRule="auto"/>
              <w:rPr/>
            </w:pPr>
            <w:r w:rsidDel="00000000" w:rsidR="00000000" w:rsidRPr="00000000">
              <w:rPr>
                <w:rtl w:val="0"/>
              </w:rPr>
              <w:t xml:space="preserve">1</w:t>
            </w:r>
          </w:p>
        </w:tc>
        <w:tc>
          <w:tcPr>
            <w:tcBorders>
              <w:top w:color="000000" w:space="0" w:sz="0" w:val="nil"/>
              <w:left w:color="000000" w:space="0" w:sz="0" w:val="nil"/>
              <w:bottom w:color="bfbfbf" w:space="0" w:sz="6" w:val="single"/>
              <w:right w:color="bfbfbf" w:space="0" w:sz="6" w:val="single"/>
            </w:tcBorders>
            <w:tcMar>
              <w:top w:w="100.0" w:type="dxa"/>
              <w:left w:w="100.0" w:type="dxa"/>
              <w:bottom w:w="100.0" w:type="dxa"/>
              <w:right w:w="100.0" w:type="dxa"/>
            </w:tcMar>
            <w:vAlign w:val="top"/>
          </w:tcPr>
          <w:p w:rsidR="00000000" w:rsidDel="00000000" w:rsidP="00000000" w:rsidRDefault="00000000" w:rsidRPr="00000000" w14:paraId="00000018">
            <w:pPr>
              <w:spacing w:line="240" w:lineRule="auto"/>
              <w:rPr/>
            </w:pPr>
            <w:r w:rsidDel="00000000" w:rsidR="00000000" w:rsidRPr="00000000">
              <w:rPr>
                <w:rtl w:val="0"/>
              </w:rPr>
              <w:t xml:space="preserve">Well described - Analyses are described clearly and completely, so that an outsider could reproduce them.</w:t>
            </w:r>
          </w:p>
        </w:tc>
        <w:tc>
          <w:tcPr>
            <w:tcBorders>
              <w:top w:color="000000" w:space="0" w:sz="0" w:val="nil"/>
              <w:left w:color="000000" w:space="0" w:sz="0" w:val="nil"/>
              <w:bottom w:color="bfbfbf" w:space="0" w:sz="6" w:val="single"/>
              <w:right w:color="bfbfbf" w:space="0" w:sz="6" w:val="single"/>
            </w:tcBorders>
            <w:tcMar>
              <w:top w:w="100.0" w:type="dxa"/>
              <w:left w:w="100.0" w:type="dxa"/>
              <w:bottom w:w="100.0" w:type="dxa"/>
              <w:right w:w="100.0" w:type="dxa"/>
            </w:tcMar>
            <w:vAlign w:val="top"/>
          </w:tcPr>
          <w:p w:rsidR="00000000" w:rsidDel="00000000" w:rsidP="00000000" w:rsidRDefault="00000000" w:rsidRPr="00000000" w14:paraId="00000019">
            <w:pPr>
              <w:spacing w:line="240" w:lineRule="auto"/>
              <w:rPr/>
            </w:pPr>
            <w:r w:rsidDel="00000000" w:rsidR="00000000" w:rsidRPr="00000000">
              <w:rPr>
                <w:rtl w:val="0"/>
              </w:rPr>
              <w:t xml:space="preserve">Needs improvement - </w:t>
            </w:r>
            <w:r w:rsidDel="00000000" w:rsidR="00000000" w:rsidRPr="00000000">
              <w:rPr>
                <w:rFonts w:ascii="Lato" w:cs="Lato" w:eastAsia="Lato" w:hAnsi="Lato"/>
                <w:color w:val="2d3b45"/>
                <w:sz w:val="20"/>
                <w:szCs w:val="20"/>
                <w:highlight w:val="white"/>
                <w:rtl w:val="0"/>
              </w:rPr>
              <w:t xml:space="preserve">Analyses are described minimally or incompletely</w:t>
            </w:r>
            <w:r w:rsidDel="00000000" w:rsidR="00000000" w:rsidRPr="00000000">
              <w:rPr>
                <w:rtl w:val="0"/>
              </w:rPr>
            </w:r>
          </w:p>
        </w:tc>
      </w:tr>
      <w:tr>
        <w:trPr>
          <w:cantSplit w:val="0"/>
          <w:trHeight w:val="920" w:hRule="atLeast"/>
          <w:tblHeader w:val="0"/>
        </w:trPr>
        <w:tc>
          <w:tcPr>
            <w:tcBorders>
              <w:top w:color="000000" w:space="0" w:sz="0" w:val="nil"/>
              <w:left w:color="bfbfbf" w:space="0" w:sz="6" w:val="single"/>
              <w:bottom w:color="bfbfbf" w:space="0" w:sz="6" w:val="single"/>
              <w:right w:color="bfbfbf" w:space="0" w:sz="6" w:val="single"/>
            </w:tcBorders>
            <w:tcMar>
              <w:top w:w="100.0" w:type="dxa"/>
              <w:left w:w="100.0" w:type="dxa"/>
              <w:bottom w:w="100.0" w:type="dxa"/>
              <w:right w:w="100.0" w:type="dxa"/>
            </w:tcMar>
            <w:vAlign w:val="top"/>
          </w:tcPr>
          <w:p w:rsidR="00000000" w:rsidDel="00000000" w:rsidP="00000000" w:rsidRDefault="00000000" w:rsidRPr="00000000" w14:paraId="0000001A">
            <w:pPr>
              <w:spacing w:line="240" w:lineRule="auto"/>
              <w:rPr/>
            </w:pPr>
            <w:r w:rsidDel="00000000" w:rsidR="00000000" w:rsidRPr="00000000">
              <w:rPr>
                <w:rtl w:val="0"/>
              </w:rPr>
              <w:t xml:space="preserve">Results and conclusions</w:t>
            </w:r>
          </w:p>
        </w:tc>
        <w:tc>
          <w:tcPr>
            <w:tcBorders>
              <w:top w:color="000000" w:space="0" w:sz="0" w:val="nil"/>
              <w:left w:color="bfbfbf" w:space="0" w:sz="6" w:val="single"/>
              <w:bottom w:color="bfbfbf" w:space="0" w:sz="6" w:val="single"/>
              <w:right w:color="bfbfbf" w:space="0" w:sz="6" w:val="single"/>
            </w:tcBorders>
            <w:tcMar>
              <w:top w:w="100.0" w:type="dxa"/>
              <w:left w:w="100.0" w:type="dxa"/>
              <w:bottom w:w="100.0" w:type="dxa"/>
              <w:right w:w="100.0" w:type="dxa"/>
            </w:tcMar>
            <w:vAlign w:val="top"/>
          </w:tcPr>
          <w:p w:rsidR="00000000" w:rsidDel="00000000" w:rsidP="00000000" w:rsidRDefault="00000000" w:rsidRPr="00000000" w14:paraId="0000001B">
            <w:pPr>
              <w:spacing w:line="240" w:lineRule="auto"/>
              <w:rPr/>
            </w:pPr>
            <w:r w:rsidDel="00000000" w:rsidR="00000000" w:rsidRPr="00000000">
              <w:rPr>
                <w:rtl w:val="0"/>
              </w:rPr>
              <w:t xml:space="preserve">2</w:t>
            </w:r>
          </w:p>
        </w:tc>
        <w:tc>
          <w:tcPr>
            <w:tcBorders>
              <w:top w:color="000000" w:space="0" w:sz="0" w:val="nil"/>
              <w:left w:color="000000" w:space="0" w:sz="0" w:val="nil"/>
              <w:bottom w:color="bfbfbf" w:space="0" w:sz="6" w:val="single"/>
              <w:right w:color="bfbfbf" w:space="0" w:sz="6" w:val="single"/>
            </w:tcBorders>
            <w:tcMar>
              <w:top w:w="100.0" w:type="dxa"/>
              <w:left w:w="100.0" w:type="dxa"/>
              <w:bottom w:w="100.0" w:type="dxa"/>
              <w:right w:w="100.0" w:type="dxa"/>
            </w:tcMar>
            <w:vAlign w:val="top"/>
          </w:tcPr>
          <w:p w:rsidR="00000000" w:rsidDel="00000000" w:rsidP="00000000" w:rsidRDefault="00000000" w:rsidRPr="00000000" w14:paraId="0000001C">
            <w:pPr>
              <w:spacing w:line="240" w:lineRule="auto"/>
              <w:rPr/>
            </w:pPr>
            <w:r w:rsidDel="00000000" w:rsidR="00000000" w:rsidRPr="00000000">
              <w:rPr>
                <w:rtl w:val="0"/>
              </w:rPr>
              <w:t xml:space="preserve">Convincing - Analyses are interpreted using appropriate argumentation practices to reach sound conclusions. Findings are communicated convincingly, including a graph.</w:t>
            </w:r>
          </w:p>
        </w:tc>
        <w:tc>
          <w:tcPr>
            <w:tcBorders>
              <w:top w:color="000000" w:space="0" w:sz="0" w:val="nil"/>
              <w:left w:color="000000" w:space="0" w:sz="0" w:val="nil"/>
              <w:bottom w:color="bfbfbf" w:space="0" w:sz="6" w:val="single"/>
              <w:right w:color="bfbfbf" w:space="0" w:sz="6" w:val="single"/>
            </w:tcBorders>
            <w:tcMar>
              <w:top w:w="100.0" w:type="dxa"/>
              <w:left w:w="100.0" w:type="dxa"/>
              <w:bottom w:w="100.0" w:type="dxa"/>
              <w:right w:w="100.0" w:type="dxa"/>
            </w:tcMar>
            <w:vAlign w:val="top"/>
          </w:tcPr>
          <w:p w:rsidR="00000000" w:rsidDel="00000000" w:rsidP="00000000" w:rsidRDefault="00000000" w:rsidRPr="00000000" w14:paraId="0000001D">
            <w:pPr>
              <w:spacing w:line="240" w:lineRule="auto"/>
              <w:rPr/>
            </w:pPr>
            <w:r w:rsidDel="00000000" w:rsidR="00000000" w:rsidRPr="00000000">
              <w:rPr>
                <w:rtl w:val="0"/>
              </w:rPr>
              <w:t xml:space="preserve">Unconvincing - </w:t>
            </w:r>
            <w:r w:rsidDel="00000000" w:rsidR="00000000" w:rsidRPr="00000000">
              <w:rPr>
                <w:rFonts w:ascii="Lato" w:cs="Lato" w:eastAsia="Lato" w:hAnsi="Lato"/>
                <w:color w:val="2d3b45"/>
                <w:sz w:val="20"/>
                <w:szCs w:val="20"/>
                <w:highlight w:val="white"/>
                <w:rtl w:val="0"/>
              </w:rPr>
              <w:t xml:space="preserve">Arguments are missing key points, or findings are communicated unconvincingly.</w:t>
            </w:r>
            <w:r w:rsidDel="00000000" w:rsidR="00000000" w:rsidRPr="00000000">
              <w:rPr>
                <w:rtl w:val="0"/>
              </w:rPr>
            </w:r>
          </w:p>
        </w:tc>
      </w:tr>
      <w:tr>
        <w:trPr>
          <w:cantSplit w:val="0"/>
          <w:trHeight w:val="920" w:hRule="atLeast"/>
          <w:tblHeader w:val="0"/>
        </w:trPr>
        <w:tc>
          <w:tcPr>
            <w:tcBorders>
              <w:top w:color="000000" w:space="0" w:sz="0" w:val="nil"/>
              <w:left w:color="bfbfbf" w:space="0" w:sz="8" w:val="single"/>
              <w:bottom w:color="bfbfbf" w:space="0" w:sz="8" w:val="single"/>
              <w:right w:color="bfbfbf" w:space="0" w:sz="8" w:val="single"/>
            </w:tcBorders>
            <w:tcMar>
              <w:top w:w="100.0" w:type="dxa"/>
              <w:left w:w="100.0" w:type="dxa"/>
              <w:bottom w:w="100.0" w:type="dxa"/>
              <w:right w:w="100.0" w:type="dxa"/>
            </w:tcMar>
            <w:vAlign w:val="top"/>
          </w:tcPr>
          <w:p w:rsidR="00000000" w:rsidDel="00000000" w:rsidP="00000000" w:rsidRDefault="00000000" w:rsidRPr="00000000" w14:paraId="0000001E">
            <w:pPr>
              <w:spacing w:line="240" w:lineRule="auto"/>
              <w:rPr/>
            </w:pPr>
            <w:r w:rsidDel="00000000" w:rsidR="00000000" w:rsidRPr="00000000">
              <w:rPr>
                <w:rtl w:val="0"/>
              </w:rPr>
              <w:t xml:space="preserve">Scientific integrity</w:t>
            </w:r>
          </w:p>
        </w:tc>
        <w:tc>
          <w:tcPr>
            <w:tcBorders>
              <w:top w:color="000000" w:space="0" w:sz="0" w:val="nil"/>
              <w:left w:color="bfbfbf" w:space="0" w:sz="8" w:val="single"/>
              <w:bottom w:color="bfbfbf" w:space="0" w:sz="8" w:val="single"/>
              <w:right w:color="bfbfbf" w:space="0" w:sz="8" w:val="single"/>
            </w:tcBorders>
            <w:tcMar>
              <w:top w:w="100.0" w:type="dxa"/>
              <w:left w:w="100.0" w:type="dxa"/>
              <w:bottom w:w="100.0" w:type="dxa"/>
              <w:right w:w="100.0" w:type="dxa"/>
            </w:tcMar>
            <w:vAlign w:val="top"/>
          </w:tcPr>
          <w:p w:rsidR="00000000" w:rsidDel="00000000" w:rsidP="00000000" w:rsidRDefault="00000000" w:rsidRPr="00000000" w14:paraId="0000001F">
            <w:pPr>
              <w:spacing w:line="240" w:lineRule="auto"/>
              <w:rPr/>
            </w:pPr>
            <w:r w:rsidDel="00000000" w:rsidR="00000000" w:rsidRPr="00000000">
              <w:rPr>
                <w:rtl w:val="0"/>
              </w:rPr>
              <w:t xml:space="preserve">1</w:t>
            </w:r>
          </w:p>
        </w:tc>
        <w:tc>
          <w:tcPr>
            <w:tcBorders>
              <w:top w:color="000000" w:space="0" w:sz="0" w:val="nil"/>
              <w:left w:color="000000" w:space="0" w:sz="0" w:val="nil"/>
              <w:bottom w:color="bfbfbf" w:space="0" w:sz="8" w:val="single"/>
              <w:right w:color="bfbfbf" w:space="0" w:sz="8" w:val="single"/>
            </w:tcBorders>
            <w:tcMar>
              <w:top w:w="100.0" w:type="dxa"/>
              <w:left w:w="100.0" w:type="dxa"/>
              <w:bottom w:w="100.0" w:type="dxa"/>
              <w:right w:w="100.0" w:type="dxa"/>
            </w:tcMar>
            <w:vAlign w:val="top"/>
          </w:tcPr>
          <w:p w:rsidR="00000000" w:rsidDel="00000000" w:rsidP="00000000" w:rsidRDefault="00000000" w:rsidRPr="00000000" w14:paraId="00000020">
            <w:pPr>
              <w:spacing w:line="240" w:lineRule="auto"/>
              <w:rPr/>
            </w:pPr>
            <w:r w:rsidDel="00000000" w:rsidR="00000000" w:rsidRPr="00000000">
              <w:rPr>
                <w:rtl w:val="0"/>
              </w:rPr>
              <w:t xml:space="preserve">High - Multiple practical strategies for mitigating bias are carried out. Awareness of scientific integrity concerns is demonstrated.</w:t>
            </w:r>
          </w:p>
        </w:tc>
        <w:tc>
          <w:tcPr>
            <w:tcBorders>
              <w:top w:color="000000" w:space="0" w:sz="0" w:val="nil"/>
              <w:left w:color="000000" w:space="0" w:sz="0" w:val="nil"/>
              <w:bottom w:color="bfbfbf" w:space="0" w:sz="8" w:val="single"/>
              <w:right w:color="bfbfbf" w:space="0" w:sz="8" w:val="single"/>
            </w:tcBorders>
            <w:tcMar>
              <w:top w:w="100.0" w:type="dxa"/>
              <w:left w:w="100.0" w:type="dxa"/>
              <w:bottom w:w="100.0" w:type="dxa"/>
              <w:right w:w="100.0" w:type="dxa"/>
            </w:tcMar>
            <w:vAlign w:val="top"/>
          </w:tcPr>
          <w:p w:rsidR="00000000" w:rsidDel="00000000" w:rsidP="00000000" w:rsidRDefault="00000000" w:rsidRPr="00000000" w14:paraId="00000021">
            <w:pPr>
              <w:spacing w:line="240" w:lineRule="auto"/>
              <w:rPr/>
            </w:pPr>
            <w:r w:rsidDel="00000000" w:rsidR="00000000" w:rsidRPr="00000000">
              <w:rPr>
                <w:rtl w:val="0"/>
              </w:rPr>
              <w:t xml:space="preserve">Low - Awareness of scientific integrity concerns is not documented.</w:t>
            </w:r>
          </w:p>
        </w:tc>
      </w:tr>
    </w:tbl>
    <w:p w:rsidR="00000000" w:rsidDel="00000000" w:rsidP="00000000" w:rsidRDefault="00000000" w:rsidRPr="00000000" w14:paraId="00000022">
      <w:pPr>
        <w:pStyle w:val="Heading1"/>
        <w:spacing w:after="240" w:before="240" w:lineRule="auto"/>
        <w:rPr/>
      </w:pPr>
      <w:bookmarkStart w:colFirst="0" w:colLast="0" w:name="_132najsuhi97" w:id="5"/>
      <w:bookmarkEnd w:id="5"/>
      <w:r w:rsidDel="00000000" w:rsidR="00000000" w:rsidRPr="00000000">
        <w:rPr>
          <w:rtl w:val="0"/>
        </w:rPr>
        <w:t xml:space="preserve">Lab followup question</w:t>
      </w:r>
    </w:p>
    <w:p w:rsidR="00000000" w:rsidDel="00000000" w:rsidP="00000000" w:rsidRDefault="00000000" w:rsidRPr="00000000" w14:paraId="00000023">
      <w:pPr>
        <w:numPr>
          <w:ilvl w:val="0"/>
          <w:numId w:val="4"/>
        </w:numPr>
        <w:spacing w:after="0" w:afterAutospacing="0" w:before="240" w:lineRule="auto"/>
        <w:ind w:left="720" w:hanging="360"/>
        <w:rPr>
          <w:u w:val="none"/>
        </w:rPr>
      </w:pPr>
      <w:r w:rsidDel="00000000" w:rsidR="00000000" w:rsidRPr="00000000">
        <w:rPr>
          <w:rtl w:val="0"/>
        </w:rPr>
        <w:t xml:space="preserve">In the [Lab 5 Followup Question] you drafted a research question to potentially investigate in the last weeks of this quarter. Revise those research questions or write a new one to better fit the criteria for good research questions that were discussed in lab:</w:t>
      </w:r>
    </w:p>
    <w:p w:rsidR="00000000" w:rsidDel="00000000" w:rsidP="00000000" w:rsidRDefault="00000000" w:rsidRPr="00000000" w14:paraId="00000024">
      <w:pPr>
        <w:numPr>
          <w:ilvl w:val="0"/>
          <w:numId w:val="1"/>
        </w:numPr>
        <w:spacing w:after="0" w:afterAutospacing="0" w:before="0" w:beforeAutospacing="0" w:lineRule="auto"/>
        <w:ind w:left="1440" w:hanging="360"/>
        <w:rPr>
          <w:i w:val="1"/>
          <w:iCs w:val="1"/>
        </w:rPr>
      </w:pPr>
      <w:r w:rsidDel="00000000" w:rsidR="00000000" w:rsidRPr="00000000">
        <w:rPr>
          <w:rtl w:val="0"/>
        </w:rPr>
        <w:t xml:space="preserve">Answerable: is a question, uses well-defined terms</w:t>
      </w:r>
    </w:p>
    <w:p w:rsidR="00000000" w:rsidDel="00000000" w:rsidP="00000000" w:rsidRDefault="00000000" w:rsidRPr="00000000" w14:paraId="00000025">
      <w:pPr>
        <w:numPr>
          <w:ilvl w:val="0"/>
          <w:numId w:val="1"/>
        </w:numPr>
        <w:spacing w:after="0" w:afterAutospacing="0" w:before="0" w:beforeAutospacing="0" w:lineRule="auto"/>
        <w:ind w:left="1440" w:hanging="360"/>
        <w:rPr>
          <w:i w:val="1"/>
          <w:iCs w:val="1"/>
        </w:rPr>
      </w:pPr>
      <w:r w:rsidDel="00000000" w:rsidR="00000000" w:rsidRPr="00000000">
        <w:rPr>
          <w:rtl w:val="0"/>
        </w:rPr>
        <w:t xml:space="preserve">Multiple possible believable answers, so you learn; not an answer you already know, probably not yes/no</w:t>
      </w:r>
    </w:p>
    <w:p w:rsidR="00000000" w:rsidDel="00000000" w:rsidP="00000000" w:rsidRDefault="00000000" w:rsidRPr="00000000" w14:paraId="00000026">
      <w:pPr>
        <w:numPr>
          <w:ilvl w:val="0"/>
          <w:numId w:val="1"/>
        </w:numPr>
        <w:spacing w:after="0" w:afterAutospacing="0" w:before="0" w:beforeAutospacing="0" w:lineRule="auto"/>
        <w:ind w:left="1440" w:hanging="360"/>
        <w:rPr>
          <w:i w:val="1"/>
          <w:iCs w:val="1"/>
        </w:rPr>
      </w:pPr>
      <w:r w:rsidDel="00000000" w:rsidR="00000000" w:rsidRPr="00000000">
        <w:rPr>
          <w:rtl w:val="0"/>
        </w:rPr>
        <w:t xml:space="preserve">Experimental: answerable with data and evidence</w:t>
      </w:r>
    </w:p>
    <w:p w:rsidR="00000000" w:rsidDel="00000000" w:rsidP="00000000" w:rsidRDefault="00000000" w:rsidRPr="00000000" w14:paraId="00000027">
      <w:pPr>
        <w:numPr>
          <w:ilvl w:val="0"/>
          <w:numId w:val="1"/>
        </w:numPr>
        <w:spacing w:after="0" w:afterAutospacing="0" w:before="0" w:beforeAutospacing="0" w:lineRule="auto"/>
        <w:ind w:left="1440" w:hanging="360"/>
        <w:rPr>
          <w:i w:val="1"/>
          <w:iCs w:val="1"/>
        </w:rPr>
      </w:pPr>
      <w:r w:rsidDel="00000000" w:rsidR="00000000" w:rsidRPr="00000000">
        <w:rPr>
          <w:rtl w:val="0"/>
        </w:rPr>
        <w:t xml:space="preserve">Feasible: Answerable within your abilities and resources</w:t>
      </w:r>
    </w:p>
    <w:p w:rsidR="00000000" w:rsidDel="00000000" w:rsidP="00000000" w:rsidRDefault="00000000" w:rsidRPr="00000000" w14:paraId="00000028">
      <w:pPr>
        <w:numPr>
          <w:ilvl w:val="0"/>
          <w:numId w:val="1"/>
        </w:numPr>
        <w:spacing w:after="240" w:before="0" w:beforeAutospacing="0" w:lineRule="auto"/>
        <w:ind w:left="1440" w:hanging="360"/>
        <w:rPr>
          <w:i w:val="1"/>
          <w:iCs w:val="1"/>
        </w:rPr>
      </w:pPr>
      <w:r w:rsidDel="00000000" w:rsidR="00000000" w:rsidRPr="00000000">
        <w:rPr>
          <w:rtl w:val="0"/>
        </w:rPr>
        <w:t xml:space="preserve">Focused and Generalizable: Specific to this experiment, yet will produce knowledge that is useful in other contexts</w:t>
      </w:r>
    </w:p>
    <w:p w:rsidR="00000000" w:rsidDel="00000000" w:rsidP="00000000" w:rsidRDefault="00000000" w:rsidRPr="00000000" w14:paraId="00000029">
      <w:pPr>
        <w:ind w:left="720" w:firstLine="0"/>
        <w:rPr/>
      </w:pPr>
      <w:r w:rsidDel="00000000" w:rsidR="00000000" w:rsidRPr="00000000">
        <w:rPr>
          <w:rtl w:val="0"/>
        </w:rPr>
        <w:t xml:space="preserve">INSTRUCTOR NOTE: Some possible research questions Jaimy has collected over the years: </w:t>
      </w:r>
      <w:hyperlink r:id="rId8">
        <w:r w:rsidDel="00000000" w:rsidR="00000000" w:rsidRPr="00000000">
          <w:rPr>
            <w:color w:val="0000ee"/>
            <w:u w:val="single"/>
            <w:rtl w:val="0"/>
          </w:rPr>
          <w:t xml:space="preserve">117/121 lab project questions</w:t>
        </w:r>
      </w:hyperlink>
      <w:r w:rsidDel="00000000" w:rsidR="00000000" w:rsidRPr="00000000">
        <w:rPr>
          <w:rtl w:val="0"/>
        </w:rPr>
        <w:t xml:space="preserve"> </w:t>
      </w:r>
      <w:r w:rsidDel="00000000" w:rsidR="00000000" w:rsidRPr="00000000">
        <w:rPr>
          <w:i w:val="1"/>
          <w:iCs w:val="1"/>
          <w:rtl w:val="0"/>
        </w:rPr>
        <w:t xml:space="preserve">Please don’t give these to students;</w:t>
      </w:r>
      <w:r w:rsidDel="00000000" w:rsidR="00000000" w:rsidRPr="00000000">
        <w:rPr>
          <w:rtl w:val="0"/>
        </w:rPr>
        <w:t xml:space="preserve"> that would deprive them of the opportunity to learn how to write their own experimental questions. But maybe they will be helpful for you to see what kinds of questions might be available &amp; worth pursuing, and guide students accordingly.</w:t>
      </w:r>
    </w:p>
    <w:p w:rsidR="00000000" w:rsidDel="00000000" w:rsidP="00000000" w:rsidRDefault="00000000" w:rsidRPr="00000000" w14:paraId="0000002A">
      <w:pPr>
        <w:ind w:left="720" w:firstLine="0"/>
        <w:rPr/>
      </w:pPr>
      <w:r w:rsidDel="00000000" w:rsidR="00000000" w:rsidRPr="00000000">
        <w:rPr>
          <w:rtl w:val="0"/>
        </w:rPr>
      </w:r>
    </w:p>
    <w:p w:rsidR="00000000" w:rsidDel="00000000" w:rsidP="00000000" w:rsidRDefault="00000000" w:rsidRPr="00000000" w14:paraId="0000002B">
      <w:pPr>
        <w:numPr>
          <w:ilvl w:val="0"/>
          <w:numId w:val="4"/>
        </w:numPr>
        <w:spacing w:after="0" w:afterAutospacing="0" w:before="240" w:lineRule="auto"/>
        <w:ind w:left="720" w:hanging="360"/>
        <w:rPr>
          <w:u w:val="none"/>
        </w:rPr>
      </w:pPr>
      <w:r w:rsidDel="00000000" w:rsidR="00000000" w:rsidRPr="00000000">
        <w:rPr>
          <w:rtl w:val="0"/>
        </w:rPr>
        <w:t xml:space="preserve">Revisit the [group roles] document and use it to answer the following questions.</w:t>
      </w:r>
    </w:p>
    <w:p w:rsidR="00000000" w:rsidDel="00000000" w:rsidP="00000000" w:rsidRDefault="00000000" w:rsidRPr="00000000" w14:paraId="0000002C">
      <w:pPr>
        <w:numPr>
          <w:ilvl w:val="0"/>
          <w:numId w:val="2"/>
        </w:numPr>
        <w:ind w:left="1440" w:hanging="360"/>
      </w:pPr>
      <w:r w:rsidDel="00000000" w:rsidR="00000000" w:rsidRPr="00000000">
        <w:rPr>
          <w:rtl w:val="0"/>
        </w:rPr>
        <w:t xml:space="preserve">Thinking back on your recent labs, what are some of the roles [link roles doc] that you have played effectively in your group (intentionally or unintentionally)? In what ways were they effective? 100 words minimum.</w:t>
      </w:r>
    </w:p>
    <w:p w:rsidR="00000000" w:rsidDel="00000000" w:rsidP="00000000" w:rsidRDefault="00000000" w:rsidRPr="00000000" w14:paraId="0000002D">
      <w:pPr>
        <w:numPr>
          <w:ilvl w:val="0"/>
          <w:numId w:val="2"/>
        </w:numPr>
        <w:ind w:left="1440" w:hanging="360"/>
      </w:pPr>
      <w:r w:rsidDel="00000000" w:rsidR="00000000" w:rsidRPr="00000000">
        <w:rPr>
          <w:rtl w:val="0"/>
        </w:rPr>
        <w:t xml:space="preserve">What are some practices where you have room for improvement? Describe a plan to improve your own contribution to group work during the final labs. 100 words minimum.</w:t>
      </w:r>
    </w:p>
    <w:p w:rsidR="00000000" w:rsidDel="00000000" w:rsidP="00000000" w:rsidRDefault="00000000" w:rsidRPr="00000000" w14:paraId="0000002E">
      <w:pPr>
        <w:pStyle w:val="Heading1"/>
        <w:rPr/>
      </w:pPr>
      <w:bookmarkStart w:colFirst="0" w:colLast="0" w:name="_rwei2redyzhz" w:id="6"/>
      <w:bookmarkEnd w:id="6"/>
      <w:r w:rsidDel="00000000" w:rsidR="00000000" w:rsidRPr="00000000">
        <w:rPr>
          <w:rtl w:val="0"/>
        </w:rPr>
        <w:t xml:space="preserve">Pacing</w:t>
      </w:r>
    </w:p>
    <w:p w:rsidR="00000000" w:rsidDel="00000000" w:rsidP="00000000" w:rsidRDefault="00000000" w:rsidRPr="00000000" w14:paraId="0000002F">
      <w:pPr>
        <w:rPr/>
      </w:pPr>
      <w:r w:rsidDel="00000000" w:rsidR="00000000" w:rsidRPr="00000000">
        <w:rPr>
          <w:rtl w:val="0"/>
        </w:rPr>
        <w:t xml:space="preserve">Students should complete this entire investigation in this two hour lab session. Here is a suggested timeline:</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(5 min) Midcourse feedback response</w:t>
      </w:r>
    </w:p>
    <w:p w:rsidR="00000000" w:rsidDel="00000000" w:rsidP="00000000" w:rsidRDefault="00000000" w:rsidRPr="00000000" w14:paraId="00000032">
      <w:pPr>
        <w:rPr/>
      </w:pPr>
      <w:r w:rsidDel="00000000" w:rsidR="00000000" w:rsidRPr="00000000">
        <w:rPr>
          <w:rtl w:val="0"/>
        </w:rPr>
        <w:t xml:space="preserve">(10 min) Critique research questions</w:t>
      </w:r>
    </w:p>
    <w:p w:rsidR="00000000" w:rsidDel="00000000" w:rsidP="00000000" w:rsidRDefault="00000000" w:rsidRPr="00000000" w14:paraId="00000033">
      <w:pPr>
        <w:rPr/>
      </w:pPr>
      <w:r w:rsidDel="00000000" w:rsidR="00000000" w:rsidRPr="00000000">
        <w:rPr>
          <w:rtl w:val="0"/>
        </w:rPr>
        <w:t xml:space="preserve">(5 min) Intro to Hooke’s Law</w:t>
      </w:r>
    </w:p>
    <w:p w:rsidR="00000000" w:rsidDel="00000000" w:rsidP="00000000" w:rsidRDefault="00000000" w:rsidRPr="00000000" w14:paraId="00000034">
      <w:pPr>
        <w:rPr/>
      </w:pPr>
      <w:r w:rsidDel="00000000" w:rsidR="00000000" w:rsidRPr="00000000">
        <w:rPr>
          <w:rtl w:val="0"/>
        </w:rPr>
        <w:t xml:space="preserve">(30 min) Pilot experiment and rough analysis</w:t>
      </w:r>
    </w:p>
    <w:p w:rsidR="00000000" w:rsidDel="00000000" w:rsidP="00000000" w:rsidRDefault="00000000" w:rsidRPr="00000000" w14:paraId="00000035">
      <w:pPr>
        <w:rPr/>
      </w:pPr>
      <w:r w:rsidDel="00000000" w:rsidR="00000000" w:rsidRPr="00000000">
        <w:rPr>
          <w:rtl w:val="0"/>
        </w:rPr>
        <w:t xml:space="preserve">(30 min) Improved experiment / extended data collection</w:t>
      </w:r>
    </w:p>
    <w:p w:rsidR="00000000" w:rsidDel="00000000" w:rsidP="00000000" w:rsidRDefault="00000000" w:rsidRPr="00000000" w14:paraId="00000036">
      <w:pPr>
        <w:rPr/>
      </w:pPr>
      <w:r w:rsidDel="00000000" w:rsidR="00000000" w:rsidRPr="00000000">
        <w:rPr>
          <w:rtl w:val="0"/>
        </w:rPr>
        <w:t xml:space="preserve">(30 min) Results and conclusions</w:t>
      </w:r>
    </w:p>
    <w:p w:rsidR="00000000" w:rsidDel="00000000" w:rsidP="00000000" w:rsidRDefault="00000000" w:rsidRPr="00000000" w14:paraId="00000037">
      <w:pPr>
        <w:pStyle w:val="Heading1"/>
        <w:rPr/>
      </w:pPr>
      <w:bookmarkStart w:colFirst="0" w:colLast="0" w:name="_7gs8uy3f8o3c" w:id="7"/>
      <w:bookmarkEnd w:id="7"/>
      <w:r w:rsidDel="00000000" w:rsidR="00000000" w:rsidRPr="00000000">
        <w:rPr>
          <w:rtl w:val="0"/>
        </w:rPr>
        <w:t xml:space="preserve">Facilitation notes</w:t>
      </w:r>
    </w:p>
    <w:p w:rsidR="00000000" w:rsidDel="00000000" w:rsidP="00000000" w:rsidRDefault="00000000" w:rsidRPr="00000000" w14:paraId="00000038">
      <w:pPr>
        <w:rPr/>
      </w:pPr>
      <w:r w:rsidDel="00000000" w:rsidR="00000000" w:rsidRPr="00000000">
        <w:rPr>
          <w:rtl w:val="0"/>
        </w:rPr>
        <w:t xml:space="preserve">Jaimy’s awesome Desmos template, including uncertainty in both directions and a multi-option trendline: </w:t>
      </w:r>
      <w:hyperlink r:id="rId9">
        <w:r w:rsidDel="00000000" w:rsidR="00000000" w:rsidRPr="00000000">
          <w:rPr>
            <w:color w:val="1155cc"/>
            <w:u w:val="single"/>
            <w:rtl w:val="0"/>
          </w:rPr>
          <w:t xml:space="preserve">https://www.desmos.com/calculator/cwv7lynmls</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And there’s also this one - which is better? </w:t>
      </w:r>
      <w:hyperlink r:id="rId10">
        <w:r w:rsidDel="00000000" w:rsidR="00000000" w:rsidRPr="00000000">
          <w:rPr>
            <w:color w:val="1155cc"/>
            <w:u w:val="single"/>
            <w:rtl w:val="0"/>
          </w:rPr>
          <w:t xml:space="preserve">https://www.desmos.com/calculator/8hfscmqhqr</w:t>
        </w:r>
      </w:hyperlink>
      <w:r w:rsidDel="00000000" w:rsidR="00000000" w:rsidRPr="00000000">
        <w:rPr>
          <w:rtl w:val="0"/>
        </w:rPr>
        <w:tab/>
      </w:r>
      <w:r w:rsidDel="00000000" w:rsidR="00000000" w:rsidRPr="00000000">
        <w:rPr>
          <w:rtl w:val="0"/>
        </w:rPr>
      </w:r>
    </w:p>
    <w:p w:rsidR="00000000" w:rsidDel="00000000" w:rsidP="00000000" w:rsidRDefault="00000000" w:rsidRPr="00000000" w14:paraId="0000003A">
      <w:pPr>
        <w:pStyle w:val="Heading1"/>
        <w:rPr/>
      </w:pPr>
      <w:bookmarkStart w:colFirst="0" w:colLast="0" w:name="_3vjnzajk2tyh" w:id="8"/>
      <w:bookmarkEnd w:id="8"/>
      <w:r w:rsidDel="00000000" w:rsidR="00000000" w:rsidRPr="00000000">
        <w:rPr>
          <w:rtl w:val="0"/>
        </w:rPr>
        <w:t xml:space="preserve">Makeup lab option</w:t>
      </w:r>
    </w:p>
    <w:p w:rsidR="00000000" w:rsidDel="00000000" w:rsidP="00000000" w:rsidRDefault="00000000" w:rsidRPr="00000000" w14:paraId="0000003B">
      <w:pPr>
        <w:rPr/>
      </w:pPr>
      <w:r w:rsidDel="00000000" w:rsidR="00000000" w:rsidRPr="00000000">
        <w:rPr>
          <w:rtl w:val="0"/>
        </w:rPr>
        <w:t xml:space="preserve">Students who miss the lab this week can be given data from one or more of the lab groups to analyze.</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hyperlink r:id="rId11">
        <w:r w:rsidDel="00000000" w:rsidR="00000000" w:rsidRPr="00000000">
          <w:rPr>
            <w:color w:val="0000ee"/>
            <w:u w:val="single"/>
            <w:rtl w:val="0"/>
          </w:rPr>
          <w:t xml:space="preserve">117/121lab Au23 Lab 6: Makeup assignment</w:t>
        </w:r>
      </w:hyperlink>
      <w:r w:rsidDel="00000000" w:rsidR="00000000" w:rsidRPr="00000000">
        <w:rPr>
          <w:rtl w:val="0"/>
        </w:rPr>
        <w:t xml:space="preserve">- Feel free to use this format, but substitute real data from your own students</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urier New"/>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upp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docs.google.com/document/d/1gKHfVHA3-VVZmJANwEGL4kYLzPig1NrEiBl4dIgG0rI/edit#heading=h.5g7rke3khjsj" TargetMode="External"/><Relationship Id="rId10" Type="http://schemas.openxmlformats.org/officeDocument/2006/relationships/hyperlink" Target="https://www.desmos.com/calculator/8hfscmqhqr" TargetMode="External"/><Relationship Id="rId9" Type="http://schemas.openxmlformats.org/officeDocument/2006/relationships/hyperlink" Target="https://www.desmos.com/calculator/cwv7lynmls" TargetMode="External"/><Relationship Id="rId5" Type="http://schemas.openxmlformats.org/officeDocument/2006/relationships/styles" Target="styles.xml"/><Relationship Id="rId6" Type="http://schemas.openxmlformats.org/officeDocument/2006/relationships/hyperlink" Target="https://docs.google.com/presentation/d/15WMJEUZPMULJbp59b4sR4t_o2IY6lCbPq0hJOOAfn6A/edit?slide=id.g11f19e5516a_0_0#slide=id.g11f19e5516a_0_0" TargetMode="External"/><Relationship Id="rId7" Type="http://schemas.openxmlformats.org/officeDocument/2006/relationships/hyperlink" Target="https://docs.google.com/document/d/1RAZzwu-SZujH2bZoJ4F_hYB7NETQ042pUruMSNtSkO0/edit?tab=t.0" TargetMode="External"/><Relationship Id="rId8" Type="http://schemas.openxmlformats.org/officeDocument/2006/relationships/hyperlink" Target="https://docs.google.com/spreadsheets/d/1pS8s1aqWtCWUjclLftXzIEKZwDC-sKH3f414BsFyizI/edit?usp=sharin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